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дополнени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размеры базовых окладов (базовых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окладов), базовых ставок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 замещающих должности, не являющиеся должностями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 должности которых не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профессиональными квалификационными группами,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приказами министерства здравоохранения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российской федерации, утвержденные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18.10.2011 № </w:t>
      </w:r>
      <w:r>
        <w:rPr>
          <w:rFonts w:ascii="Times New Roman" w:hAnsi="Times New Roman" w:cs="Times New Roman"/>
          <w:sz w:val="28"/>
          <w:szCs w:val="28"/>
        </w:rPr>
        <w:t xml:space="preserve">505-пп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системе оплаты труда работников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области, замещающих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являющиеся должностями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2" w:tooltip="consultantplus://offline/ref=E65F99F763A620F608048F68D7504E4E75FFBC5C94F660B5203F3DDAFF1B7A3A4F824C168E22BFDA8BE0183FFD8B9528E07BBDAB2A6542CCC1EBA2p9W2F" w:history="1">
        <w:r>
          <w:rPr>
            <w:rStyle w:val="86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размеры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базовых о</w:t>
      </w:r>
      <w:r>
        <w:rPr>
          <w:rFonts w:ascii="Times New Roman" w:hAnsi="Times New Roman" w:cs="Times New Roman"/>
          <w:sz w:val="28"/>
          <w:szCs w:val="28"/>
        </w:rPr>
        <w:t xml:space="preserve">кладов (базовых должностных окладов), базовых ставок заработной платы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должност</w:t>
      </w:r>
      <w:r>
        <w:rPr>
          <w:rFonts w:ascii="Times New Roman" w:hAnsi="Times New Roman" w:cs="Times New Roman"/>
          <w:sz w:val="28"/>
          <w:szCs w:val="28"/>
        </w:rPr>
        <w:t xml:space="preserve">и которых не предусмотрены профессиональными квалификационными группами, утвержденными приказами Министерства здравоохранения и социального развития Российской Федерации, утвержденные постановлением правительства Еврейской автономной области от 18.10.2011 </w:t>
      </w:r>
      <w:r>
        <w:rPr>
          <w:rFonts w:ascii="Times New Roman" w:hAnsi="Times New Roman" w:cs="Times New Roman"/>
          <w:sz w:val="28"/>
          <w:szCs w:val="28"/>
        </w:rPr>
        <w:t xml:space="preserve">№ 505-пп «</w:t>
      </w:r>
      <w:r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дополнени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tooltip="consultantplus://offline/ref=E65F99F763A620F608048F68D7504E4E75FFBC5C94F660B5203F3DDAFF1B7A3A4F824C168E22BFDA8BE0183FFD8B9528E07BBDAB2A6542CCC1EBA2p9W2F" w:history="1">
        <w:r>
          <w:rPr>
            <w:rStyle w:val="86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«Водитель автомобиля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представительстве правительства Еврейской автономной области при Правительстве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6755 </w:t>
            </w:r>
            <w:r>
              <w:rPr>
                <w:sz w:val="28"/>
                <w:szCs w:val="28"/>
              </w:rPr>
              <w:t xml:space="preserve">–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7885****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consultantplus://offline/ref=2E0138711007037F27A3017F1E8436288470797A12846D2A2771511A992FA256BD5237F3256540232591C9A5B51040FD65B07E0158B84CD721CFF8K1dEF" w:history="1">
        <w:r>
          <w:rPr>
            <w:rFonts w:ascii="Times New Roman" w:hAnsi="Times New Roman" w:cs="Times New Roman"/>
            <w:sz w:val="28"/>
            <w:szCs w:val="28"/>
          </w:rPr>
          <w:t xml:space="preserve">примечание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«*</w:t>
      </w:r>
      <w:r>
        <w:rPr>
          <w:rFonts w:ascii="Times New Roman" w:hAnsi="Times New Roman" w:cs="Times New Roman"/>
          <w:sz w:val="28"/>
          <w:szCs w:val="28"/>
        </w:rPr>
        <w:t xml:space="preserve">*** Размер базового </w:t>
      </w:r>
      <w:r>
        <w:rPr>
          <w:rFonts w:ascii="Times New Roman" w:hAnsi="Times New Roman" w:cs="Times New Roman"/>
          <w:sz w:val="28"/>
          <w:szCs w:val="28"/>
        </w:rPr>
        <w:t xml:space="preserve">оклада (базового должностного оклада), базовой ставки заработной платы установлен с учетом всех принятых на </w:t>
      </w:r>
      <w:r>
        <w:rPr>
          <w:rFonts w:ascii="Times New Roman" w:hAnsi="Times New Roman" w:cs="Times New Roman"/>
          <w:sz w:val="28"/>
          <w:szCs w:val="28"/>
        </w:rPr>
        <w:t xml:space="preserve">01.01.2023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Еврейской автономной области о повышении размеров базовых окладов (базовых должностных окладов), базовых ставок заработной платы.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</w:t>
      </w:r>
      <w:r>
        <w:rPr>
          <w:rFonts w:ascii="Times New Roman" w:hAnsi="Times New Roman" w:cs="Times New Roman"/>
          <w:sz w:val="28"/>
          <w:szCs w:val="28"/>
        </w:rPr>
        <w:t xml:space="preserve">ольдштейн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7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9"/>
    <w:next w:val="859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60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9"/>
    <w:next w:val="859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60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9"/>
    <w:next w:val="859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0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60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60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60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0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0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0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9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9"/>
    <w:next w:val="859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0"/>
    <w:link w:val="702"/>
    <w:uiPriority w:val="10"/>
    <w:rPr>
      <w:sz w:val="48"/>
      <w:szCs w:val="48"/>
    </w:rPr>
  </w:style>
  <w:style w:type="paragraph" w:styleId="704">
    <w:name w:val="Subtitle"/>
    <w:basedOn w:val="859"/>
    <w:next w:val="859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0"/>
    <w:link w:val="704"/>
    <w:uiPriority w:val="11"/>
    <w:rPr>
      <w:sz w:val="24"/>
      <w:szCs w:val="24"/>
    </w:rPr>
  </w:style>
  <w:style w:type="paragraph" w:styleId="706">
    <w:name w:val="Quote"/>
    <w:basedOn w:val="859"/>
    <w:next w:val="859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9"/>
    <w:next w:val="859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9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0"/>
    <w:link w:val="710"/>
    <w:uiPriority w:val="99"/>
  </w:style>
  <w:style w:type="paragraph" w:styleId="712">
    <w:name w:val="Footer"/>
    <w:basedOn w:val="859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0"/>
    <w:link w:val="712"/>
    <w:uiPriority w:val="99"/>
  </w:style>
  <w:style w:type="paragraph" w:styleId="714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5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character" w:styleId="866">
    <w:name w:val="Hyperlink"/>
    <w:basedOn w:val="86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consultantplus://offline/ref=E65F99F763A620F608048F68D7504E4E75FFBC5C94F660B5203F3DDAFF1B7A3A4F824C168E22BFDA8BE0183FFD8B9528E07BBDAB2A6542CCC1EBA2p9W2F" TargetMode="External"/><Relationship Id="rId13" Type="http://schemas.openxmlformats.org/officeDocument/2006/relationships/hyperlink" Target="consultantplus://offline/ref=E65F99F763A620F608048F68D7504E4E75FFBC5C94F660B5203F3DDAFF1B7A3A4F824C168E22BFDA8BE0183FFD8B9528E07BBDAB2A6542CCC1EBA2p9W2F" TargetMode="External"/><Relationship Id="rId14" Type="http://schemas.openxmlformats.org/officeDocument/2006/relationships/hyperlink" Target="consultantplus://offline/ref=2E0138711007037F27A3017F1E8436288470797A12846D2A2771511A992FA256BD5237F3256540232591C9A5B51040FD65B07E0158B84CD721CFF8K1d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Ольга Петровна</dc:creator>
  <cp:revision>5</cp:revision>
  <dcterms:created xsi:type="dcterms:W3CDTF">2023-02-08T05:35:00Z</dcterms:created>
  <dcterms:modified xsi:type="dcterms:W3CDTF">2023-02-08T23:53:01Z</dcterms:modified>
</cp:coreProperties>
</file>